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DD" w:rsidRPr="0014564C" w:rsidRDefault="00E84C96" w:rsidP="0014564C">
      <w:pPr>
        <w:jc w:val="center"/>
        <w:rPr>
          <w:b/>
        </w:rPr>
      </w:pPr>
      <w:r w:rsidRPr="009504F8">
        <w:rPr>
          <w:b/>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-234950</wp:posOffset>
            </wp:positionV>
            <wp:extent cx="2139098" cy="4680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A_green-gray-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098" cy="468085"/>
                    </a:xfrm>
                    <a:prstGeom prst="rect">
                      <a:avLst/>
                    </a:prstGeom>
                  </pic:spPr>
                </pic:pic>
              </a:graphicData>
            </a:graphic>
            <wp14:sizeRelH relativeFrom="margin">
              <wp14:pctWidth>0</wp14:pctWidth>
            </wp14:sizeRelH>
            <wp14:sizeRelV relativeFrom="margin">
              <wp14:pctHeight>0</wp14:pctHeight>
            </wp14:sizeRelV>
          </wp:anchor>
        </w:drawing>
      </w:r>
      <w:r w:rsidR="0014564C" w:rsidRPr="009504F8">
        <w:rPr>
          <w:b/>
          <w:sz w:val="24"/>
        </w:rPr>
        <w:t>NLSA Classroom Observation Tool</w:t>
      </w:r>
    </w:p>
    <w:p w:rsidR="0014564C" w:rsidRDefault="0014564C" w:rsidP="004751B9">
      <w:pPr>
        <w:spacing w:after="0" w:line="240" w:lineRule="auto"/>
        <w:rPr>
          <w:sz w:val="20"/>
          <w:szCs w:val="20"/>
        </w:rPr>
      </w:pPr>
      <w:r w:rsidRPr="00FC575D">
        <w:rPr>
          <w:sz w:val="20"/>
          <w:szCs w:val="20"/>
        </w:rPr>
        <w:t>This tool has been designed to assist you in observing, identifying, and documenting evidence of classroom environments that are conducive to student learning and growth.  Please circle the appropriate number in each of the sections below which identifies what you observed during your time in the classroom.</w:t>
      </w:r>
    </w:p>
    <w:p w:rsidR="004751B9" w:rsidRPr="004751B9" w:rsidRDefault="004751B9" w:rsidP="004751B9">
      <w:pPr>
        <w:spacing w:after="0" w:line="240" w:lineRule="auto"/>
        <w:rPr>
          <w:sz w:val="16"/>
          <w:szCs w:val="20"/>
        </w:rPr>
      </w:pPr>
    </w:p>
    <w:p w:rsidR="0014564C" w:rsidRPr="00FC575D" w:rsidRDefault="0014564C" w:rsidP="004751B9">
      <w:pPr>
        <w:spacing w:after="0"/>
        <w:rPr>
          <w:sz w:val="20"/>
          <w:szCs w:val="20"/>
        </w:rPr>
      </w:pPr>
      <w:r w:rsidRPr="00FC575D">
        <w:rPr>
          <w:sz w:val="20"/>
          <w:szCs w:val="20"/>
        </w:rPr>
        <w:t>Date</w:t>
      </w:r>
      <w:r w:rsidR="00147F4A">
        <w:rPr>
          <w:sz w:val="20"/>
          <w:szCs w:val="20"/>
        </w:rPr>
        <w:t xml:space="preserve"> ___ / ___ / ___</w:t>
      </w:r>
      <w:r w:rsidR="00147F4A">
        <w:rPr>
          <w:sz w:val="20"/>
          <w:szCs w:val="20"/>
        </w:rPr>
        <w:tab/>
        <w:t>School _____</w:t>
      </w:r>
      <w:r w:rsidR="00DB5B70">
        <w:rPr>
          <w:sz w:val="20"/>
          <w:szCs w:val="20"/>
        </w:rPr>
        <w:t xml:space="preserve">____________________________  </w:t>
      </w:r>
      <w:r w:rsidRPr="00FC575D">
        <w:rPr>
          <w:sz w:val="20"/>
          <w:szCs w:val="20"/>
        </w:rPr>
        <w:t>City</w:t>
      </w:r>
      <w:r w:rsidR="00DB5B70">
        <w:rPr>
          <w:sz w:val="20"/>
          <w:szCs w:val="20"/>
        </w:rPr>
        <w:t xml:space="preserve"> ______________________ </w:t>
      </w:r>
      <w:r w:rsidR="00147F4A">
        <w:rPr>
          <w:sz w:val="20"/>
          <w:szCs w:val="20"/>
        </w:rPr>
        <w:t>State __________</w:t>
      </w:r>
      <w:r w:rsidR="00DB5B70">
        <w:rPr>
          <w:sz w:val="20"/>
          <w:szCs w:val="20"/>
        </w:rPr>
        <w:t xml:space="preserve"> </w:t>
      </w:r>
      <w:r w:rsidRPr="00FC575D">
        <w:rPr>
          <w:sz w:val="20"/>
          <w:szCs w:val="20"/>
        </w:rPr>
        <w:t>Grade Level</w:t>
      </w:r>
      <w:r w:rsidR="00DB5B70">
        <w:rPr>
          <w:sz w:val="20"/>
          <w:szCs w:val="20"/>
        </w:rPr>
        <w:t>(s) ______</w:t>
      </w:r>
      <w:r w:rsidR="00DB5B70">
        <w:rPr>
          <w:sz w:val="20"/>
          <w:szCs w:val="20"/>
        </w:rPr>
        <w:tab/>
        <w:t>Subject _________________</w:t>
      </w:r>
    </w:p>
    <w:p w:rsidR="0014564C" w:rsidRDefault="0014564C" w:rsidP="004751B9">
      <w:pPr>
        <w:spacing w:after="0"/>
        <w:rPr>
          <w:sz w:val="20"/>
          <w:szCs w:val="20"/>
        </w:rPr>
      </w:pPr>
      <w:r w:rsidRPr="00FC575D">
        <w:rPr>
          <w:sz w:val="20"/>
          <w:szCs w:val="20"/>
        </w:rPr>
        <w:t>Time In</w:t>
      </w:r>
      <w:r w:rsidR="00BB376D">
        <w:rPr>
          <w:sz w:val="20"/>
          <w:szCs w:val="20"/>
        </w:rPr>
        <w:t xml:space="preserve"> _________  </w:t>
      </w:r>
      <w:r w:rsidRPr="00FC575D">
        <w:rPr>
          <w:sz w:val="20"/>
          <w:szCs w:val="20"/>
        </w:rPr>
        <w:t>Time Out</w:t>
      </w:r>
      <w:r w:rsidR="00B40802">
        <w:rPr>
          <w:sz w:val="20"/>
          <w:szCs w:val="20"/>
        </w:rPr>
        <w:t xml:space="preserve"> </w:t>
      </w:r>
      <w:r w:rsidR="00BB376D">
        <w:rPr>
          <w:sz w:val="20"/>
          <w:szCs w:val="20"/>
        </w:rPr>
        <w:t xml:space="preserve">_________  </w:t>
      </w:r>
      <w:r w:rsidRPr="00FC575D">
        <w:rPr>
          <w:sz w:val="20"/>
          <w:szCs w:val="20"/>
        </w:rPr>
        <w:t>Check</w:t>
      </w:r>
      <w:r w:rsidR="00B40802">
        <w:rPr>
          <w:sz w:val="20"/>
          <w:szCs w:val="20"/>
        </w:rPr>
        <w:t xml:space="preserve"> ALL That Apply: Lesson Beg. _____ </w:t>
      </w:r>
      <w:r w:rsidRPr="00FC575D">
        <w:rPr>
          <w:sz w:val="20"/>
          <w:szCs w:val="20"/>
        </w:rPr>
        <w:t>Lesson Middle</w:t>
      </w:r>
      <w:r w:rsidR="00B40802">
        <w:rPr>
          <w:sz w:val="20"/>
          <w:szCs w:val="20"/>
        </w:rPr>
        <w:t xml:space="preserve"> _____ </w:t>
      </w:r>
      <w:r w:rsidRPr="00FC575D">
        <w:rPr>
          <w:sz w:val="20"/>
          <w:szCs w:val="20"/>
        </w:rPr>
        <w:t>Lesson End</w:t>
      </w:r>
      <w:r w:rsidR="00B40802">
        <w:rPr>
          <w:sz w:val="20"/>
          <w:szCs w:val="20"/>
        </w:rPr>
        <w:t xml:space="preserve"> _____</w:t>
      </w:r>
      <w:r w:rsidR="00DB5B70">
        <w:rPr>
          <w:sz w:val="20"/>
          <w:szCs w:val="20"/>
        </w:rPr>
        <w:tab/>
      </w:r>
      <w:r w:rsidRPr="00FC575D">
        <w:rPr>
          <w:sz w:val="20"/>
          <w:szCs w:val="20"/>
        </w:rPr>
        <w:t>Observer Name</w:t>
      </w:r>
      <w:r w:rsidR="00DB5B70">
        <w:rPr>
          <w:sz w:val="20"/>
          <w:szCs w:val="20"/>
        </w:rPr>
        <w:t xml:space="preserve"> ________________________________</w:t>
      </w:r>
    </w:p>
    <w:p w:rsidR="00133040" w:rsidRPr="009504F8" w:rsidRDefault="00133040" w:rsidP="004751B9">
      <w:pPr>
        <w:spacing w:after="0"/>
        <w:rPr>
          <w:sz w:val="12"/>
          <w:szCs w:val="20"/>
        </w:rPr>
      </w:pPr>
    </w:p>
    <w:tbl>
      <w:tblPr>
        <w:tblStyle w:val="TableGrid"/>
        <w:tblW w:w="5000" w:type="pct"/>
        <w:tblLayout w:type="fixed"/>
        <w:tblLook w:val="04A0" w:firstRow="1" w:lastRow="0" w:firstColumn="1" w:lastColumn="0" w:noHBand="0" w:noVBand="1"/>
      </w:tblPr>
      <w:tblGrid>
        <w:gridCol w:w="10706"/>
        <w:gridCol w:w="992"/>
        <w:gridCol w:w="989"/>
        <w:gridCol w:w="1057"/>
        <w:gridCol w:w="934"/>
      </w:tblGrid>
      <w:tr w:rsidR="0099183D" w:rsidRPr="00133040" w:rsidTr="00133040">
        <w:tc>
          <w:tcPr>
            <w:tcW w:w="5000" w:type="pct"/>
            <w:gridSpan w:val="5"/>
            <w:tcBorders>
              <w:bottom w:val="single" w:sz="4" w:space="0" w:color="auto"/>
            </w:tcBorders>
            <w:shd w:val="clear" w:color="auto" w:fill="A6A6A6" w:themeFill="background1" w:themeFillShade="A6"/>
            <w:vAlign w:val="center"/>
          </w:tcPr>
          <w:p w:rsidR="0099183D" w:rsidRPr="00133040" w:rsidRDefault="0099183D" w:rsidP="0014564C">
            <w:pPr>
              <w:jc w:val="center"/>
              <w:rPr>
                <w:b/>
                <w:sz w:val="20"/>
                <w:szCs w:val="20"/>
              </w:rPr>
            </w:pPr>
            <w:r w:rsidRPr="00133040">
              <w:rPr>
                <w:b/>
                <w:sz w:val="20"/>
                <w:szCs w:val="20"/>
              </w:rPr>
              <w:t>Student-Focused Observations</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A. Planning and Preparation</w:t>
            </w:r>
          </w:p>
        </w:tc>
        <w:tc>
          <w:tcPr>
            <w:tcW w:w="338"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are engaged in a learning environment that addresses different student needs.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know learner goals that align with instruction and are given them prior to teaching the lesson.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engage in the lesson through various learning objectives and use a variety of resources.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participate in a variety of activities that are appropriate for the time allocated to teach the lesson.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1"/>
              </w:numPr>
              <w:rPr>
                <w:sz w:val="20"/>
                <w:szCs w:val="20"/>
              </w:rPr>
            </w:pPr>
            <w:r w:rsidRPr="00133040">
              <w:rPr>
                <w:sz w:val="20"/>
                <w:szCs w:val="20"/>
              </w:rPr>
              <w:t>Students are assessed using a mix of formative and summative assessment techniques and instruments.</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sz w:val="20"/>
                <w:szCs w:val="20"/>
              </w:rPr>
            </w:pPr>
            <w:r w:rsidRPr="00133040">
              <w:rPr>
                <w:b/>
                <w:sz w:val="20"/>
                <w:szCs w:val="20"/>
              </w:rPr>
              <w:t>B. Classroom Environment</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2"/>
              </w:numPr>
              <w:rPr>
                <w:sz w:val="20"/>
                <w:szCs w:val="20"/>
              </w:rPr>
            </w:pPr>
            <w:r w:rsidRPr="00133040">
              <w:rPr>
                <w:sz w:val="20"/>
                <w:szCs w:val="20"/>
              </w:rPr>
              <w:t>Students learn in a culture of mutual care and genuine concern.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2"/>
              </w:numPr>
              <w:rPr>
                <w:sz w:val="20"/>
                <w:szCs w:val="20"/>
              </w:rPr>
            </w:pPr>
            <w:r w:rsidRPr="00133040">
              <w:rPr>
                <w:sz w:val="20"/>
                <w:szCs w:val="20"/>
              </w:rPr>
              <w:t>Students learn in a classroom where order and predictability are sustained and encouraged.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2"/>
              </w:numPr>
              <w:rPr>
                <w:sz w:val="20"/>
                <w:szCs w:val="20"/>
              </w:rPr>
            </w:pPr>
            <w:r w:rsidRPr="00133040">
              <w:rPr>
                <w:sz w:val="20"/>
                <w:szCs w:val="20"/>
              </w:rPr>
              <w:t>Students are actively engaged in the learning environment.</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C. Instruction</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engage in variou</w:t>
            </w:r>
            <w:r w:rsidR="00133040">
              <w:rPr>
                <w:sz w:val="20"/>
                <w:szCs w:val="20"/>
              </w:rPr>
              <w:t>s modalities of learning (</w:t>
            </w:r>
            <w:r w:rsidRPr="00133040">
              <w:rPr>
                <w:sz w:val="20"/>
                <w:szCs w:val="20"/>
              </w:rPr>
              <w:t>discussion, collaboration, inquiry, pr</w:t>
            </w:r>
            <w:r w:rsidR="00133040">
              <w:rPr>
                <w:sz w:val="20"/>
                <w:szCs w:val="20"/>
              </w:rPr>
              <w:t>oblem-solving, predicting, etc.).</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are engaged in higher levels of thinking.</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 interactions give evidence of learning and assessment.</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use instructional rubrics as a guide to inform them of what is expected.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track their own mastery of content with assistance from their teacher.</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3"/>
              </w:numPr>
              <w:rPr>
                <w:sz w:val="20"/>
                <w:szCs w:val="20"/>
              </w:rPr>
            </w:pPr>
            <w:r w:rsidRPr="00133040">
              <w:rPr>
                <w:sz w:val="20"/>
                <w:szCs w:val="20"/>
              </w:rPr>
              <w:t>Students are provided examples of quality work through exemplars.</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D. Faith Integration</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4"/>
              </w:numPr>
              <w:rPr>
                <w:sz w:val="20"/>
                <w:szCs w:val="20"/>
              </w:rPr>
            </w:pPr>
            <w:r w:rsidRPr="00133040">
              <w:rPr>
                <w:sz w:val="20"/>
                <w:szCs w:val="20"/>
              </w:rPr>
              <w:t>Students shepherd and care for one another in their daily interactions.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4"/>
              </w:numPr>
              <w:rPr>
                <w:sz w:val="20"/>
                <w:szCs w:val="20"/>
              </w:rPr>
            </w:pPr>
            <w:r w:rsidRPr="00133040">
              <w:rPr>
                <w:sz w:val="20"/>
                <w:szCs w:val="20"/>
              </w:rPr>
              <w:t>Students</w:t>
            </w:r>
            <w:r w:rsidR="009B1CDB" w:rsidRPr="00133040">
              <w:rPr>
                <w:sz w:val="20"/>
                <w:szCs w:val="20"/>
              </w:rPr>
              <w:t xml:space="preserve"> show respect for God, property</w:t>
            </w:r>
            <w:r w:rsidRPr="00133040">
              <w:rPr>
                <w:sz w:val="20"/>
                <w:szCs w:val="20"/>
              </w:rPr>
              <w:t xml:space="preserve"> and the teaching of God’s word.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4"/>
              </w:numPr>
              <w:rPr>
                <w:sz w:val="20"/>
                <w:szCs w:val="20"/>
              </w:rPr>
            </w:pPr>
            <w:r w:rsidRPr="00133040">
              <w:rPr>
                <w:sz w:val="20"/>
                <w:szCs w:val="20"/>
              </w:rPr>
              <w:t>Students interact with adults, each other, parent</w:t>
            </w:r>
            <w:r w:rsidR="009B1CDB" w:rsidRPr="00133040">
              <w:rPr>
                <w:sz w:val="20"/>
                <w:szCs w:val="20"/>
              </w:rPr>
              <w:t>s</w:t>
            </w:r>
            <w:r w:rsidRPr="00133040">
              <w:rPr>
                <w:sz w:val="20"/>
                <w:szCs w:val="20"/>
              </w:rPr>
              <w:t xml:space="preserve"> and students with Christian care and mutual respect.</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E. Technology</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bookmarkStart w:id="0" w:name="_GoBack"/>
        <w:bookmarkEnd w:id="0"/>
      </w:tr>
      <w:tr w:rsidR="00133040" w:rsidRPr="00133040" w:rsidTr="00133040">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learn.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extend their learning beyond the classroom.</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rPr>
          <w:trHeight w:val="58"/>
        </w:trPr>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solve problems individually and/or in collaborative teams.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bl>
    <w:p w:rsidR="00133040" w:rsidRPr="00133040" w:rsidRDefault="00133040" w:rsidP="00133040">
      <w:pPr>
        <w:spacing w:after="0"/>
        <w:rPr>
          <w:sz w:val="6"/>
        </w:rPr>
      </w:pPr>
    </w:p>
    <w:p w:rsidR="0014564C" w:rsidRPr="00133040" w:rsidRDefault="00133040" w:rsidP="004751B9">
      <w:pPr>
        <w:rPr>
          <w:b/>
        </w:rPr>
      </w:pPr>
      <w:r w:rsidRPr="00133040">
        <w:rPr>
          <w:b/>
        </w:rPr>
        <w:t>Comments:</w:t>
      </w:r>
    </w:p>
    <w:sectPr w:rsidR="0014564C" w:rsidRPr="00133040" w:rsidSect="008A4522">
      <w:footerReference w:type="default" r:id="rId8"/>
      <w:pgSz w:w="15840" w:h="12240" w:orient="landscape"/>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22" w:rsidRDefault="008A4522" w:rsidP="008A4522">
      <w:pPr>
        <w:spacing w:after="0" w:line="240" w:lineRule="auto"/>
      </w:pPr>
      <w:r>
        <w:separator/>
      </w:r>
    </w:p>
  </w:endnote>
  <w:endnote w:type="continuationSeparator" w:id="0">
    <w:p w:rsidR="008A4522" w:rsidRDefault="008A4522" w:rsidP="008A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24" w:rsidRPr="008A4522" w:rsidRDefault="008A4522" w:rsidP="00DA5724">
    <w:pPr>
      <w:pStyle w:val="Footer"/>
      <w:jc w:val="right"/>
      <w:rPr>
        <w:sz w:val="14"/>
      </w:rPr>
    </w:pPr>
    <w:r w:rsidRPr="008A4522">
      <w:rPr>
        <w:sz w:val="14"/>
      </w:rPr>
      <w:t>NLSA 9/20</w:t>
    </w:r>
    <w:r w:rsidR="00E2732A">
      <w:rPr>
        <w:sz w:val="14"/>
      </w:rPr>
      <w:t>2</w:t>
    </w:r>
    <w:r w:rsidR="00935A48">
      <w:rPr>
        <w:sz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22" w:rsidRDefault="008A4522" w:rsidP="008A4522">
      <w:pPr>
        <w:spacing w:after="0" w:line="240" w:lineRule="auto"/>
      </w:pPr>
      <w:r>
        <w:separator/>
      </w:r>
    </w:p>
  </w:footnote>
  <w:footnote w:type="continuationSeparator" w:id="0">
    <w:p w:rsidR="008A4522" w:rsidRDefault="008A4522" w:rsidP="008A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498E"/>
    <w:multiLevelType w:val="hybridMultilevel"/>
    <w:tmpl w:val="D9E84488"/>
    <w:lvl w:ilvl="0" w:tplc="77C66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A3"/>
    <w:multiLevelType w:val="hybridMultilevel"/>
    <w:tmpl w:val="7B2C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F89"/>
    <w:multiLevelType w:val="hybridMultilevel"/>
    <w:tmpl w:val="9F6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56E"/>
    <w:multiLevelType w:val="hybridMultilevel"/>
    <w:tmpl w:val="FA4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F5A10"/>
    <w:multiLevelType w:val="hybridMultilevel"/>
    <w:tmpl w:val="8048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4C"/>
    <w:rsid w:val="00133040"/>
    <w:rsid w:val="0014564C"/>
    <w:rsid w:val="00147F4A"/>
    <w:rsid w:val="00231FD9"/>
    <w:rsid w:val="00311036"/>
    <w:rsid w:val="00474B15"/>
    <w:rsid w:val="004751B9"/>
    <w:rsid w:val="00577D83"/>
    <w:rsid w:val="007C0D8D"/>
    <w:rsid w:val="0082754D"/>
    <w:rsid w:val="00874DC7"/>
    <w:rsid w:val="008A4522"/>
    <w:rsid w:val="00935A48"/>
    <w:rsid w:val="009504F8"/>
    <w:rsid w:val="009571B0"/>
    <w:rsid w:val="0099183D"/>
    <w:rsid w:val="009B1CDB"/>
    <w:rsid w:val="00A26736"/>
    <w:rsid w:val="00AA2E45"/>
    <w:rsid w:val="00B40802"/>
    <w:rsid w:val="00BB376D"/>
    <w:rsid w:val="00DA5724"/>
    <w:rsid w:val="00DB5B70"/>
    <w:rsid w:val="00E03DDD"/>
    <w:rsid w:val="00E163B7"/>
    <w:rsid w:val="00E2732A"/>
    <w:rsid w:val="00E32EDA"/>
    <w:rsid w:val="00E84C96"/>
    <w:rsid w:val="00FC575D"/>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5BB6"/>
  <w15:chartTrackingRefBased/>
  <w15:docId w15:val="{C003D96D-3564-45E1-8408-5692BB4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64C"/>
    <w:pPr>
      <w:ind w:left="720"/>
      <w:contextualSpacing/>
    </w:pPr>
  </w:style>
  <w:style w:type="paragraph" w:styleId="Header">
    <w:name w:val="header"/>
    <w:basedOn w:val="Normal"/>
    <w:link w:val="HeaderChar"/>
    <w:uiPriority w:val="99"/>
    <w:unhideWhenUsed/>
    <w:rsid w:val="008A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22"/>
  </w:style>
  <w:style w:type="paragraph" w:styleId="Footer">
    <w:name w:val="footer"/>
    <w:basedOn w:val="Normal"/>
    <w:link w:val="FooterChar"/>
    <w:uiPriority w:val="99"/>
    <w:unhideWhenUsed/>
    <w:rsid w:val="008A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20</cp:revision>
  <dcterms:created xsi:type="dcterms:W3CDTF">2018-05-09T14:07:00Z</dcterms:created>
  <dcterms:modified xsi:type="dcterms:W3CDTF">2021-08-23T16:59:00Z</dcterms:modified>
</cp:coreProperties>
</file>